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14" w:rsidRDefault="00C63614">
      <w:r w:rsidRPr="00C6361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F9BA6E4" wp14:editId="715E586F">
                <wp:simplePos x="0" y="0"/>
                <wp:positionH relativeFrom="column">
                  <wp:posOffset>-32385</wp:posOffset>
                </wp:positionH>
                <wp:positionV relativeFrom="paragraph">
                  <wp:posOffset>-98425</wp:posOffset>
                </wp:positionV>
                <wp:extent cx="5413375" cy="781050"/>
                <wp:effectExtent l="38100" t="38100" r="111125" b="114300"/>
                <wp:wrapNone/>
                <wp:docPr id="3" name="横巻き 3"/>
                <wp:cNvGraphicFramePr/>
                <a:graphic xmlns:a="http://schemas.openxmlformats.org/drawingml/2006/main">
                  <a:graphicData uri="http://schemas.microsoft.com/office/word/2010/wordprocessingShape">
                    <wps:wsp>
                      <wps:cNvSpPr/>
                      <wps:spPr>
                        <a:xfrm>
                          <a:off x="0" y="0"/>
                          <a:ext cx="5413375" cy="781050"/>
                        </a:xfrm>
                        <a:prstGeom prst="horizontalScroll">
                          <a:avLst/>
                        </a:prstGeom>
                        <a:solidFill>
                          <a:srgbClr val="4BACC6">
                            <a:lumMod val="20000"/>
                            <a:lumOff val="80000"/>
                          </a:srgbClr>
                        </a:solidFill>
                        <a:ln w="12700" cap="flat" cmpd="sng" algn="ctr">
                          <a:solidFill>
                            <a:srgbClr val="4F81BD"/>
                          </a:solidFill>
                          <a:prstDash val="solid"/>
                        </a:ln>
                        <a:effectLst>
                          <a:outerShdw blurRad="50800" dist="38100" dir="2700000" algn="tl" rotWithShape="0">
                            <a:prstClr val="black">
                              <a:alpha val="40000"/>
                            </a:prstClr>
                          </a:outerShdw>
                        </a:effectLst>
                      </wps:spPr>
                      <wps:txbx>
                        <w:txbxContent>
                          <w:p w:rsidR="00C63614" w:rsidRPr="00C63614" w:rsidRDefault="00C63614" w:rsidP="00C63614">
                            <w:pPr>
                              <w:jc w:val="center"/>
                              <w:rPr>
                                <w:rFonts w:ascii="HGPｺﾞｼｯｸM" w:eastAsia="HGPｺﾞｼｯｸM"/>
                                <w:b/>
                                <w:sz w:val="24"/>
                                <w:szCs w:val="24"/>
                              </w:rPr>
                            </w:pPr>
                            <w:r w:rsidRPr="00C63614">
                              <w:rPr>
                                <w:rFonts w:ascii="HGPｺﾞｼｯｸM" w:eastAsia="HGPｺﾞｼｯｸM" w:hint="eastAsia"/>
                                <w:b/>
                                <w:sz w:val="24"/>
                                <w:szCs w:val="24"/>
                              </w:rPr>
                              <w:t xml:space="preserve">≪改正保険業法対応≫　</w:t>
                            </w:r>
                            <w:r w:rsidRPr="009F4DFA">
                              <w:rPr>
                                <w:rFonts w:ascii="HGP創英角ﾎﾟｯﾌﾟ体" w:eastAsia="HGP創英角ﾎﾟｯﾌﾟ体" w:hAnsi="HGP創英角ﾎﾟｯﾌﾟ体" w:hint="eastAsia"/>
                                <w:b/>
                                <w:sz w:val="28"/>
                                <w:szCs w:val="28"/>
                              </w:rPr>
                              <w:t>『体制整備』の豆知識</w:t>
                            </w:r>
                            <w:r w:rsidRPr="00C63614">
                              <w:rPr>
                                <w:rFonts w:ascii="HGPｺﾞｼｯｸM" w:eastAsia="HGPｺﾞｼｯｸM" w:hint="eastAsia"/>
                                <w:b/>
                                <w:sz w:val="24"/>
                                <w:szCs w:val="24"/>
                              </w:rPr>
                              <w:t xml:space="preserve">　（Vol.</w:t>
                            </w:r>
                            <w:r>
                              <w:rPr>
                                <w:rFonts w:ascii="HGPｺﾞｼｯｸM" w:eastAsia="HGPｺﾞｼｯｸM" w:hint="eastAsia"/>
                                <w:b/>
                                <w:sz w:val="24"/>
                                <w:szCs w:val="24"/>
                              </w:rPr>
                              <w:t>２</w:t>
                            </w:r>
                            <w:r w:rsidRPr="00C63614">
                              <w:rPr>
                                <w:rFonts w:ascii="HGPｺﾞｼｯｸM" w:eastAsia="HGPｺﾞｼｯｸM" w:hint="eastAsia"/>
                                <w:b/>
                                <w:sz w:val="24"/>
                                <w:szCs w:val="24"/>
                              </w:rPr>
                              <w:t>/</w:t>
                            </w:r>
                            <w:r w:rsidR="0039583B">
                              <w:rPr>
                                <w:rFonts w:ascii="HGPｺﾞｼｯｸM" w:eastAsia="HGPｺﾞｼｯｸM" w:hint="eastAsia"/>
                                <w:b/>
                                <w:sz w:val="24"/>
                                <w:szCs w:val="24"/>
                              </w:rPr>
                              <w:t>H28.2</w:t>
                            </w:r>
                            <w:r w:rsidRPr="00C63614">
                              <w:rPr>
                                <w:rFonts w:ascii="HGPｺﾞｼｯｸM" w:eastAsia="HGPｺﾞｼｯｸM" w:hint="eastAsia"/>
                                <w:b/>
                                <w:sz w:val="24"/>
                                <w:szCs w:val="24"/>
                              </w:rPr>
                              <w:t>.</w:t>
                            </w:r>
                            <w:r w:rsidR="0039583B">
                              <w:rPr>
                                <w:rFonts w:ascii="HGPｺﾞｼｯｸM" w:eastAsia="HGPｺﾞｼｯｸM" w:hint="eastAsia"/>
                                <w:b/>
                                <w:sz w:val="24"/>
                                <w:szCs w:val="24"/>
                              </w:rPr>
                              <w:t>2</w:t>
                            </w:r>
                            <w:r w:rsidRPr="00C63614">
                              <w:rPr>
                                <w:rFonts w:ascii="HGPｺﾞｼｯｸM" w:eastAsia="HGPｺﾞｼｯｸM"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2.55pt;margin-top:-7.75pt;width:426.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" fillcolor="#dbeef4" strokecolor="#4f81bd" strokeweight="1pt">
                <v:shadow on="t" color="black" opacity="26214f" origin="-.5,-.5" offset=".74836mm,.74836mm"/>
                <v:textbox>
                  <w:txbxContent>
                    <w:p w:rsidR="00C63614" w:rsidRPr="00C63614" w:rsidRDefault="00C63614" w:rsidP="00C63614">
                      <w:pPr>
                        <w:jc w:val="center"/>
                        <w:rPr>
                          <w:rFonts w:ascii="HGPｺﾞｼｯｸM" w:eastAsia="HGPｺﾞｼｯｸM"/>
                          <w:b/>
                          <w:sz w:val="24"/>
                          <w:szCs w:val="24"/>
                        </w:rPr>
                      </w:pPr>
                      <w:r w:rsidRPr="00C63614">
                        <w:rPr>
                          <w:rFonts w:ascii="HGPｺﾞｼｯｸM" w:eastAsia="HGPｺﾞｼｯｸM" w:hint="eastAsia"/>
                          <w:b/>
                          <w:sz w:val="24"/>
                          <w:szCs w:val="24"/>
                        </w:rPr>
                        <w:t xml:space="preserve">≪改正保険業法対応≫　</w:t>
                      </w:r>
                      <w:r w:rsidRPr="009F4DFA">
                        <w:rPr>
                          <w:rFonts w:ascii="HGP創英角ﾎﾟｯﾌﾟ体" w:eastAsia="HGP創英角ﾎﾟｯﾌﾟ体" w:hAnsi="HGP創英角ﾎﾟｯﾌﾟ体" w:hint="eastAsia"/>
                          <w:b/>
                          <w:sz w:val="28"/>
                          <w:szCs w:val="28"/>
                        </w:rPr>
                        <w:t>『体制整備』の豆知識</w:t>
                      </w:r>
                      <w:r w:rsidRPr="00C63614">
                        <w:rPr>
                          <w:rFonts w:ascii="HGPｺﾞｼｯｸM" w:eastAsia="HGPｺﾞｼｯｸM" w:hint="eastAsia"/>
                          <w:b/>
                          <w:sz w:val="24"/>
                          <w:szCs w:val="24"/>
                        </w:rPr>
                        <w:t xml:space="preserve">　（Vol.</w:t>
                      </w:r>
                      <w:r>
                        <w:rPr>
                          <w:rFonts w:ascii="HGPｺﾞｼｯｸM" w:eastAsia="HGPｺﾞｼｯｸM" w:hint="eastAsia"/>
                          <w:b/>
                          <w:sz w:val="24"/>
                          <w:szCs w:val="24"/>
                        </w:rPr>
                        <w:t>２</w:t>
                      </w:r>
                      <w:r w:rsidRPr="00C63614">
                        <w:rPr>
                          <w:rFonts w:ascii="HGPｺﾞｼｯｸM" w:eastAsia="HGPｺﾞｼｯｸM" w:hint="eastAsia"/>
                          <w:b/>
                          <w:sz w:val="24"/>
                          <w:szCs w:val="24"/>
                        </w:rPr>
                        <w:t>/</w:t>
                      </w:r>
                      <w:r w:rsidR="0039583B">
                        <w:rPr>
                          <w:rFonts w:ascii="HGPｺﾞｼｯｸM" w:eastAsia="HGPｺﾞｼｯｸM" w:hint="eastAsia"/>
                          <w:b/>
                          <w:sz w:val="24"/>
                          <w:szCs w:val="24"/>
                        </w:rPr>
                        <w:t>H28.2</w:t>
                      </w:r>
                      <w:r w:rsidRPr="00C63614">
                        <w:rPr>
                          <w:rFonts w:ascii="HGPｺﾞｼｯｸM" w:eastAsia="HGPｺﾞｼｯｸM" w:hint="eastAsia"/>
                          <w:b/>
                          <w:sz w:val="24"/>
                          <w:szCs w:val="24"/>
                        </w:rPr>
                        <w:t>.</w:t>
                      </w:r>
                      <w:r w:rsidR="0039583B">
                        <w:rPr>
                          <w:rFonts w:ascii="HGPｺﾞｼｯｸM" w:eastAsia="HGPｺﾞｼｯｸM" w:hint="eastAsia"/>
                          <w:b/>
                          <w:sz w:val="24"/>
                          <w:szCs w:val="24"/>
                        </w:rPr>
                        <w:t>2</w:t>
                      </w:r>
                      <w:r w:rsidRPr="00C63614">
                        <w:rPr>
                          <w:rFonts w:ascii="HGPｺﾞｼｯｸM" w:eastAsia="HGPｺﾞｼｯｸM" w:hint="eastAsia"/>
                          <w:b/>
                          <w:sz w:val="24"/>
                          <w:szCs w:val="24"/>
                        </w:rPr>
                        <w:t>）</w:t>
                      </w:r>
                    </w:p>
                  </w:txbxContent>
                </v:textbox>
              </v:shape>
            </w:pict>
          </mc:Fallback>
        </mc:AlternateContent>
      </w:r>
    </w:p>
    <w:p w:rsidR="00C63614" w:rsidRDefault="00C63614"/>
    <w:p w:rsidR="00C63614" w:rsidRDefault="00C63614"/>
    <w:p w:rsidR="00C63614" w:rsidRDefault="00C63614"/>
    <w:p w:rsidR="00C0058B" w:rsidRDefault="00C0058B">
      <w:r>
        <w:rPr>
          <w:rFonts w:hint="eastAsia"/>
        </w:rPr>
        <w:t>豆知識Ｖ</w:t>
      </w:r>
      <w:proofErr w:type="spellStart"/>
      <w:r>
        <w:rPr>
          <w:rFonts w:hint="eastAsia"/>
        </w:rPr>
        <w:t>ol</w:t>
      </w:r>
      <w:proofErr w:type="spellEnd"/>
      <w:r>
        <w:rPr>
          <w:rFonts w:hint="eastAsia"/>
        </w:rPr>
        <w:t>.</w:t>
      </w:r>
      <w:r>
        <w:rPr>
          <w:rFonts w:hint="eastAsia"/>
        </w:rPr>
        <w:t>２です。今回は、以下の２問です。</w:t>
      </w:r>
    </w:p>
    <w:p w:rsidR="00C0058B" w:rsidRDefault="00C0058B"/>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36E7" w:rsidTr="00A35F3B">
        <w:trPr>
          <w:trHeight w:val="1117"/>
        </w:trPr>
        <w:tc>
          <w:tcPr>
            <w:tcW w:w="8505" w:type="dxa"/>
          </w:tcPr>
          <w:p w:rsidR="00A036E7" w:rsidRDefault="00A036E7" w:rsidP="00A036E7">
            <w:pPr>
              <w:ind w:left="186"/>
            </w:pPr>
            <w:r>
              <w:t>Q1</w:t>
            </w:r>
            <w:r>
              <w:rPr>
                <w:rFonts w:hint="eastAsia"/>
              </w:rPr>
              <w:t>【法令等遵守（コンプライアンス）体制（１）】</w:t>
            </w:r>
          </w:p>
          <w:p w:rsidR="00A036E7" w:rsidRDefault="00A036E7" w:rsidP="00A036E7">
            <w:pPr>
              <w:ind w:left="186"/>
            </w:pPr>
            <w:r>
              <w:rPr>
                <w:rFonts w:hint="eastAsia"/>
              </w:rPr>
              <w:t xml:space="preserve">　代理店経営者として求められる募集人向けのコンプライアンス体制とは具体的にどのようなことですか。</w:t>
            </w:r>
          </w:p>
        </w:tc>
      </w:tr>
    </w:tbl>
    <w:p w:rsidR="00A036E7" w:rsidRDefault="00A036E7" w:rsidP="00C63614"/>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36E7" w:rsidRPr="005F4568" w:rsidTr="00A036E7">
        <w:trPr>
          <w:trHeight w:val="7530"/>
        </w:trPr>
        <w:tc>
          <w:tcPr>
            <w:tcW w:w="8505" w:type="dxa"/>
          </w:tcPr>
          <w:p w:rsidR="00A35F3B" w:rsidRDefault="00A036E7" w:rsidP="00A35F3B">
            <w:pPr>
              <w:ind w:leftChars="100" w:left="400" w:hangingChars="100" w:hanging="200"/>
            </w:pPr>
            <w:r>
              <w:t>A1</w:t>
            </w:r>
            <w:r>
              <w:rPr>
                <w:rFonts w:hint="eastAsia"/>
              </w:rPr>
              <w:t xml:space="preserve">　改正保険業法では「募集人に対する教育・</w:t>
            </w:r>
            <w:r w:rsidR="00A35F3B">
              <w:rPr>
                <w:rFonts w:hint="eastAsia"/>
              </w:rPr>
              <w:t>指導</w:t>
            </w:r>
            <w:r>
              <w:rPr>
                <w:rFonts w:hint="eastAsia"/>
              </w:rPr>
              <w:t>・</w:t>
            </w:r>
            <w:r w:rsidR="00A35F3B">
              <w:rPr>
                <w:rFonts w:hint="eastAsia"/>
              </w:rPr>
              <w:t>管理</w:t>
            </w:r>
            <w:r>
              <w:rPr>
                <w:rFonts w:hint="eastAsia"/>
              </w:rPr>
              <w:t>」の体制整備が求められることになります。</w:t>
            </w:r>
            <w:r w:rsidR="00C0058B">
              <w:rPr>
                <w:rFonts w:hint="eastAsia"/>
              </w:rPr>
              <w:t>特に、</w:t>
            </w:r>
            <w:r>
              <w:rPr>
                <w:rFonts w:hint="eastAsia"/>
              </w:rPr>
              <w:t>募集人へのコンプライアンス教育は重要な経営課題であり、</w:t>
            </w:r>
            <w:r w:rsidR="009F4DFA">
              <w:rPr>
                <w:rFonts w:hint="eastAsia"/>
              </w:rPr>
              <w:t>代理店として主体的</w:t>
            </w:r>
            <w:r>
              <w:rPr>
                <w:rFonts w:hint="eastAsia"/>
              </w:rPr>
              <w:t>かつ計画的なコンプライアンス研修の実施が必要となります。</w:t>
            </w:r>
          </w:p>
          <w:p w:rsidR="00C0058B" w:rsidRDefault="00A036E7" w:rsidP="00A35F3B">
            <w:pPr>
              <w:ind w:leftChars="200" w:left="400" w:firstLineChars="100" w:firstLine="200"/>
            </w:pPr>
            <w:r>
              <w:rPr>
                <w:rFonts w:hint="eastAsia"/>
              </w:rPr>
              <w:t>手順としては、</w:t>
            </w:r>
            <w:r w:rsidR="00A35F3B">
              <w:rPr>
                <w:rFonts w:hint="eastAsia"/>
              </w:rPr>
              <w:t>例えば、</w:t>
            </w:r>
            <w:r>
              <w:rPr>
                <w:rFonts w:hint="eastAsia"/>
              </w:rPr>
              <w:t>前年度の自店の課題を洗い出し</w:t>
            </w:r>
            <w:r w:rsidR="00A35F3B">
              <w:rPr>
                <w:rFonts w:hint="eastAsia"/>
              </w:rPr>
              <w:t>、特に対応が必要な課題を３～</w:t>
            </w:r>
            <w:r w:rsidR="002877F7">
              <w:rPr>
                <w:rFonts w:hint="eastAsia"/>
              </w:rPr>
              <w:t>４</w:t>
            </w:r>
            <w:r w:rsidR="00A35F3B">
              <w:rPr>
                <w:rFonts w:hint="eastAsia"/>
              </w:rPr>
              <w:t>項目</w:t>
            </w:r>
            <w:r>
              <w:rPr>
                <w:rFonts w:ascii="HGｺﾞｼｯｸM" w:hAnsi="HGｺﾞｼｯｸM" w:cs="HGｺﾞｼｯｸM" w:hint="eastAsia"/>
              </w:rPr>
              <w:t>選定し</w:t>
            </w:r>
            <w:r w:rsidR="00A35F3B">
              <w:rPr>
                <w:rFonts w:ascii="HGｺﾞｼｯｸM" w:hAnsi="HGｺﾞｼｯｸM" w:cs="HGｺﾞｼｯｸM" w:hint="eastAsia"/>
              </w:rPr>
              <w:t>、</w:t>
            </w:r>
            <w:r w:rsidRPr="009F4DFA">
              <w:rPr>
                <w:rFonts w:ascii="HGｺﾞｼｯｸM" w:hAnsi="HGｺﾞｼｯｸM" w:cs="HGｺﾞｼｯｸM" w:hint="eastAsia"/>
                <w:u w:val="single"/>
              </w:rPr>
              <w:t>新年度当初に</w:t>
            </w:r>
            <w:r w:rsidR="00A35F3B" w:rsidRPr="009F4DFA">
              <w:rPr>
                <w:rFonts w:ascii="HGｺﾞｼｯｸM" w:hAnsi="HGｺﾞｼｯｸM" w:cs="HGｺﾞｼｯｸM" w:hint="eastAsia"/>
                <w:u w:val="single"/>
              </w:rPr>
              <w:t>自社としての</w:t>
            </w:r>
            <w:r w:rsidRPr="009F4DFA">
              <w:rPr>
                <w:rFonts w:hint="eastAsia"/>
                <w:u w:val="single"/>
              </w:rPr>
              <w:t>コンプ</w:t>
            </w:r>
            <w:r w:rsidR="009F4DFA" w:rsidRPr="009F4DFA">
              <w:rPr>
                <w:rFonts w:hint="eastAsia"/>
                <w:u w:val="single"/>
              </w:rPr>
              <w:t>ラ</w:t>
            </w:r>
            <w:r w:rsidRPr="009F4DFA">
              <w:rPr>
                <w:rFonts w:hint="eastAsia"/>
                <w:u w:val="single"/>
              </w:rPr>
              <w:t>イアンスプログラムを策定し</w:t>
            </w:r>
            <w:r w:rsidR="00A35F3B" w:rsidRPr="009F4DFA">
              <w:rPr>
                <w:rFonts w:hint="eastAsia"/>
                <w:u w:val="single"/>
              </w:rPr>
              <w:t>て実施</w:t>
            </w:r>
            <w:r w:rsidR="00C0058B" w:rsidRPr="009F4DFA">
              <w:rPr>
                <w:rFonts w:hint="eastAsia"/>
                <w:u w:val="single"/>
              </w:rPr>
              <w:t>する</w:t>
            </w:r>
            <w:r w:rsidR="00C0058B">
              <w:rPr>
                <w:rFonts w:hint="eastAsia"/>
              </w:rPr>
              <w:t>といったことが考えられます。その上で</w:t>
            </w:r>
            <w:r w:rsidR="00C0058B" w:rsidRPr="009F4DFA">
              <w:rPr>
                <w:rFonts w:hint="eastAsia"/>
                <w:u w:val="single"/>
              </w:rPr>
              <w:t>、</w:t>
            </w:r>
            <w:r w:rsidR="004E1CA8">
              <w:rPr>
                <w:rFonts w:hint="eastAsia"/>
                <w:u w:val="single"/>
              </w:rPr>
              <w:t>最低上期と下期の年</w:t>
            </w:r>
            <w:r w:rsidR="004E1CA8">
              <w:rPr>
                <w:rFonts w:hint="eastAsia"/>
                <w:u w:val="single"/>
              </w:rPr>
              <w:t>2</w:t>
            </w:r>
            <w:r w:rsidR="004E1CA8">
              <w:rPr>
                <w:rFonts w:hint="eastAsia"/>
                <w:u w:val="single"/>
              </w:rPr>
              <w:t>回（できれば、</w:t>
            </w:r>
            <w:r w:rsidRPr="009F4DFA">
              <w:rPr>
                <w:rFonts w:hint="eastAsia"/>
                <w:u w:val="single"/>
              </w:rPr>
              <w:t>四半期に１回程度</w:t>
            </w:r>
            <w:r w:rsidR="004E1CA8">
              <w:rPr>
                <w:rFonts w:hint="eastAsia"/>
                <w:u w:val="single"/>
              </w:rPr>
              <w:t>）</w:t>
            </w:r>
            <w:r w:rsidR="00A35F3B" w:rsidRPr="009F4DFA">
              <w:rPr>
                <w:rFonts w:hint="eastAsia"/>
                <w:u w:val="single"/>
              </w:rPr>
              <w:t>、</w:t>
            </w:r>
            <w:r w:rsidRPr="009F4DFA">
              <w:rPr>
                <w:rFonts w:hint="eastAsia"/>
                <w:u w:val="single"/>
              </w:rPr>
              <w:t>課題の進捗を募集人全員と共有しておく</w:t>
            </w:r>
            <w:r w:rsidR="00A35F3B">
              <w:rPr>
                <w:rFonts w:hint="eastAsia"/>
              </w:rPr>
              <w:t>、といった取り組みが</w:t>
            </w:r>
            <w:r>
              <w:rPr>
                <w:rFonts w:hint="eastAsia"/>
              </w:rPr>
              <w:t>重要です。</w:t>
            </w:r>
          </w:p>
          <w:p w:rsidR="00A036E7" w:rsidRDefault="00A036E7" w:rsidP="00A35F3B">
            <w:pPr>
              <w:ind w:leftChars="200" w:left="400" w:firstLineChars="100" w:firstLine="200"/>
            </w:pPr>
            <w:r>
              <w:rPr>
                <w:rFonts w:hint="eastAsia"/>
              </w:rPr>
              <w:t>もし、計画より遅れている場合は</w:t>
            </w:r>
            <w:r w:rsidR="00A35F3B">
              <w:rPr>
                <w:rFonts w:hint="eastAsia"/>
              </w:rPr>
              <w:t>、</w:t>
            </w:r>
            <w:r>
              <w:rPr>
                <w:rFonts w:hint="eastAsia"/>
              </w:rPr>
              <w:t>次の四半期に向けて改善策を策定し</w:t>
            </w:r>
            <w:r w:rsidR="00C0058B">
              <w:rPr>
                <w:rFonts w:hint="eastAsia"/>
              </w:rPr>
              <w:t>、</w:t>
            </w:r>
            <w:r>
              <w:rPr>
                <w:rFonts w:hint="eastAsia"/>
              </w:rPr>
              <w:t>実行します。</w:t>
            </w:r>
            <w:r w:rsidRPr="009F4DFA">
              <w:rPr>
                <w:rFonts w:hint="eastAsia"/>
                <w:u w:val="single"/>
              </w:rPr>
              <w:t>年度末には全体の総括を行い、未だ改善されない項目については</w:t>
            </w:r>
            <w:r w:rsidR="00C0058B" w:rsidRPr="009F4DFA">
              <w:rPr>
                <w:rFonts w:hint="eastAsia"/>
                <w:u w:val="single"/>
              </w:rPr>
              <w:t>、改めて</w:t>
            </w:r>
            <w:r w:rsidRPr="009F4DFA">
              <w:rPr>
                <w:rFonts w:hint="eastAsia"/>
                <w:u w:val="single"/>
              </w:rPr>
              <w:t>次年度への継続課題として</w:t>
            </w:r>
            <w:r w:rsidR="00A35F3B" w:rsidRPr="009F4DFA">
              <w:rPr>
                <w:rFonts w:hint="eastAsia"/>
                <w:u w:val="single"/>
              </w:rPr>
              <w:t>設定し</w:t>
            </w:r>
            <w:r w:rsidRPr="009F4DFA">
              <w:rPr>
                <w:rFonts w:hint="eastAsia"/>
                <w:u w:val="single"/>
              </w:rPr>
              <w:t>、定着</w:t>
            </w:r>
            <w:r w:rsidR="00C0058B" w:rsidRPr="009F4DFA">
              <w:rPr>
                <w:rFonts w:hint="eastAsia"/>
                <w:u w:val="single"/>
              </w:rPr>
              <w:t>させる</w:t>
            </w:r>
            <w:r w:rsidRPr="009F4DFA">
              <w:rPr>
                <w:rFonts w:hint="eastAsia"/>
                <w:u w:val="single"/>
              </w:rPr>
              <w:t>ためのプログラムを策定</w:t>
            </w:r>
            <w:r>
              <w:rPr>
                <w:rFonts w:hint="eastAsia"/>
              </w:rPr>
              <w:t>します。この仕組み</w:t>
            </w:r>
            <w:r w:rsidR="00A35F3B">
              <w:rPr>
                <w:rFonts w:hint="eastAsia"/>
              </w:rPr>
              <w:t>が正に</w:t>
            </w:r>
            <w:r>
              <w:rPr>
                <w:rFonts w:hint="eastAsia"/>
              </w:rPr>
              <w:t>「</w:t>
            </w:r>
            <w:r>
              <w:t>PDCA</w:t>
            </w:r>
            <w:r>
              <w:rPr>
                <w:rFonts w:hint="eastAsia"/>
              </w:rPr>
              <w:t>サイクルを回</w:t>
            </w:r>
            <w:r w:rsidR="00A35F3B">
              <w:rPr>
                <w:rFonts w:hint="eastAsia"/>
              </w:rPr>
              <w:t>す」ことであり、課題ごとに</w:t>
            </w:r>
            <w:r>
              <w:rPr>
                <w:rFonts w:hint="eastAsia"/>
              </w:rPr>
              <w:t>改善、定着を図る</w:t>
            </w:r>
            <w:r w:rsidR="00A35F3B">
              <w:rPr>
                <w:rFonts w:hint="eastAsia"/>
              </w:rPr>
              <w:t>こととなります。</w:t>
            </w:r>
          </w:p>
          <w:p w:rsidR="00A35F3B" w:rsidRDefault="00A35F3B" w:rsidP="009F4DFA">
            <w:pPr>
              <w:spacing w:beforeLines="50" w:before="177"/>
              <w:ind w:left="400" w:hangingChars="200" w:hanging="400"/>
            </w:pPr>
            <w:r>
              <w:rPr>
                <w:rFonts w:hint="eastAsia"/>
              </w:rPr>
              <w:t xml:space="preserve">　　　</w:t>
            </w:r>
            <w:r w:rsidR="00A036E7">
              <w:rPr>
                <w:rFonts w:hint="eastAsia"/>
              </w:rPr>
              <w:t>次に</w:t>
            </w:r>
            <w:r>
              <w:rPr>
                <w:rFonts w:hint="eastAsia"/>
              </w:rPr>
              <w:t>、</w:t>
            </w:r>
            <w:r w:rsidR="00A036E7">
              <w:rPr>
                <w:rFonts w:hint="eastAsia"/>
              </w:rPr>
              <w:t>各プログラムで定めた項目を具現化するための</w:t>
            </w:r>
            <w:r w:rsidR="00A036E7" w:rsidRPr="009F4DFA">
              <w:rPr>
                <w:rFonts w:hint="eastAsia"/>
                <w:u w:val="single"/>
              </w:rPr>
              <w:t>定期的なコンプラ</w:t>
            </w:r>
            <w:r w:rsidRPr="009F4DFA">
              <w:rPr>
                <w:rFonts w:hint="eastAsia"/>
                <w:u w:val="single"/>
              </w:rPr>
              <w:t>イ</w:t>
            </w:r>
            <w:r w:rsidR="00A036E7" w:rsidRPr="009F4DFA">
              <w:rPr>
                <w:rFonts w:hint="eastAsia"/>
                <w:u w:val="single"/>
              </w:rPr>
              <w:t>アンス研修</w:t>
            </w:r>
            <w:r w:rsidR="009F4DFA">
              <w:rPr>
                <w:rFonts w:hint="eastAsia"/>
                <w:u w:val="single"/>
              </w:rPr>
              <w:t>の実施</w:t>
            </w:r>
            <w:r w:rsidR="00A036E7">
              <w:rPr>
                <w:rFonts w:hint="eastAsia"/>
              </w:rPr>
              <w:t>が必要となります。テーマはコンプライアンス</w:t>
            </w:r>
            <w:r>
              <w:rPr>
                <w:rFonts w:hint="eastAsia"/>
              </w:rPr>
              <w:t>の</w:t>
            </w:r>
            <w:r w:rsidR="00A036E7">
              <w:rPr>
                <w:rFonts w:hint="eastAsia"/>
              </w:rPr>
              <w:t>責任者</w:t>
            </w:r>
            <w:r>
              <w:rPr>
                <w:rFonts w:hint="eastAsia"/>
              </w:rPr>
              <w:t>（小規模代理店では店主自身のこともあり</w:t>
            </w:r>
            <w:r w:rsidR="009F4DFA">
              <w:rPr>
                <w:rFonts w:hint="eastAsia"/>
              </w:rPr>
              <w:t>え</w:t>
            </w:r>
            <w:r w:rsidR="00C0058B">
              <w:rPr>
                <w:rFonts w:hint="eastAsia"/>
              </w:rPr>
              <w:t>ます</w:t>
            </w:r>
            <w:r>
              <w:rPr>
                <w:rFonts w:hint="eastAsia"/>
              </w:rPr>
              <w:t>）</w:t>
            </w:r>
            <w:r w:rsidR="00A036E7">
              <w:rPr>
                <w:rFonts w:hint="eastAsia"/>
              </w:rPr>
              <w:t>が中心と</w:t>
            </w:r>
            <w:r w:rsidR="00C0058B">
              <w:rPr>
                <w:rFonts w:hint="eastAsia"/>
              </w:rPr>
              <w:t>なり、</w:t>
            </w:r>
            <w:r w:rsidR="00A036E7">
              <w:rPr>
                <w:rFonts w:hint="eastAsia"/>
              </w:rPr>
              <w:t>各プログラム項目に沿って決定します。最低月１回の実施が望ましい</w:t>
            </w:r>
            <w:r>
              <w:rPr>
                <w:rFonts w:hint="eastAsia"/>
              </w:rPr>
              <w:t>と考えます</w:t>
            </w:r>
            <w:r w:rsidR="00A036E7">
              <w:rPr>
                <w:rFonts w:hint="eastAsia"/>
              </w:rPr>
              <w:t>。ここで重要</w:t>
            </w:r>
            <w:r>
              <w:rPr>
                <w:rFonts w:hint="eastAsia"/>
              </w:rPr>
              <w:t>な</w:t>
            </w:r>
            <w:r w:rsidR="00A036E7">
              <w:rPr>
                <w:rFonts w:hint="eastAsia"/>
              </w:rPr>
              <w:t>ことは、</w:t>
            </w:r>
            <w:r w:rsidR="009F4DFA" w:rsidRPr="00D761C7">
              <w:rPr>
                <w:rFonts w:hint="eastAsia"/>
                <w:u w:val="single"/>
              </w:rPr>
              <w:t>情報管理については、</w:t>
            </w:r>
            <w:r w:rsidRPr="00D761C7">
              <w:rPr>
                <w:rFonts w:hint="eastAsia"/>
                <w:u w:val="single"/>
              </w:rPr>
              <w:t>社員全員</w:t>
            </w:r>
            <w:r w:rsidR="009F4DFA" w:rsidRPr="00D761C7">
              <w:rPr>
                <w:rFonts w:hint="eastAsia"/>
                <w:u w:val="single"/>
              </w:rPr>
              <w:t>が対象</w:t>
            </w:r>
            <w:r>
              <w:rPr>
                <w:rFonts w:hint="eastAsia"/>
              </w:rPr>
              <w:t>ということです。</w:t>
            </w:r>
            <w:r w:rsidR="00A036E7">
              <w:rPr>
                <w:rFonts w:hint="eastAsia"/>
              </w:rPr>
              <w:t>募集に従事しないパート</w:t>
            </w:r>
            <w:r>
              <w:rPr>
                <w:rFonts w:hint="eastAsia"/>
              </w:rPr>
              <w:t>タイマーやアルバイトも全て含める必要があります。</w:t>
            </w:r>
            <w:r w:rsidR="00A036E7">
              <w:rPr>
                <w:rFonts w:hint="eastAsia"/>
              </w:rPr>
              <w:t>募集に従事</w:t>
            </w:r>
            <w:r>
              <w:rPr>
                <w:rFonts w:hint="eastAsia"/>
              </w:rPr>
              <w:t>しなくても、</w:t>
            </w:r>
            <w:r w:rsidR="00A036E7">
              <w:rPr>
                <w:rFonts w:hint="eastAsia"/>
              </w:rPr>
              <w:t>店頭、電話などで顧客情報</w:t>
            </w:r>
            <w:r w:rsidR="00C0058B">
              <w:rPr>
                <w:rFonts w:hint="eastAsia"/>
              </w:rPr>
              <w:t>など</w:t>
            </w:r>
            <w:r w:rsidR="00A036E7">
              <w:rPr>
                <w:rFonts w:hint="eastAsia"/>
              </w:rPr>
              <w:t>を取り扱うことがある</w:t>
            </w:r>
            <w:r>
              <w:rPr>
                <w:rFonts w:hint="eastAsia"/>
              </w:rPr>
              <w:t>ため、</w:t>
            </w:r>
            <w:r w:rsidR="00C0058B">
              <w:rPr>
                <w:rFonts w:hint="eastAsia"/>
              </w:rPr>
              <w:t>自社としての</w:t>
            </w:r>
            <w:r w:rsidR="00A036E7">
              <w:rPr>
                <w:rFonts w:hint="eastAsia"/>
              </w:rPr>
              <w:t>基本的な規則</w:t>
            </w:r>
            <w:r>
              <w:rPr>
                <w:rFonts w:hint="eastAsia"/>
              </w:rPr>
              <w:t>や</w:t>
            </w:r>
            <w:r w:rsidR="00A036E7">
              <w:rPr>
                <w:rFonts w:hint="eastAsia"/>
              </w:rPr>
              <w:t>ルールを理解しておく必要があるからです。</w:t>
            </w:r>
          </w:p>
          <w:p w:rsidR="00E74B18" w:rsidRDefault="00A036E7" w:rsidP="009F4DFA">
            <w:pPr>
              <w:ind w:leftChars="200" w:left="400" w:firstLineChars="100" w:firstLine="200"/>
            </w:pPr>
            <w:r>
              <w:rPr>
                <w:rFonts w:hint="eastAsia"/>
              </w:rPr>
              <w:t>次に重要なことは、</w:t>
            </w:r>
            <w:r w:rsidRPr="00403738">
              <w:rPr>
                <w:rFonts w:hint="eastAsia"/>
                <w:u w:val="single"/>
              </w:rPr>
              <w:t>研修の欠席者対応</w:t>
            </w:r>
            <w:r>
              <w:rPr>
                <w:rFonts w:hint="eastAsia"/>
              </w:rPr>
              <w:t>です。商品研修などの営業に関する研修であれば自習してもらう方法も</w:t>
            </w:r>
            <w:r w:rsidR="00C0058B">
              <w:rPr>
                <w:rFonts w:hint="eastAsia"/>
              </w:rPr>
              <w:t>あ</w:t>
            </w:r>
            <w:r>
              <w:rPr>
                <w:rFonts w:hint="eastAsia"/>
              </w:rPr>
              <w:t>りますが、コンプライアンス研修については欠席者</w:t>
            </w:r>
            <w:r w:rsidR="00A35F3B">
              <w:rPr>
                <w:rFonts w:hint="eastAsia"/>
              </w:rPr>
              <w:t>を把握し、該当者には</w:t>
            </w:r>
            <w:r>
              <w:rPr>
                <w:rFonts w:hint="eastAsia"/>
              </w:rPr>
              <w:t>必ず補講</w:t>
            </w:r>
            <w:r w:rsidR="00A35F3B">
              <w:rPr>
                <w:rFonts w:hint="eastAsia"/>
              </w:rPr>
              <w:t>を受けてもらう</w:t>
            </w:r>
            <w:r>
              <w:rPr>
                <w:rFonts w:hint="eastAsia"/>
              </w:rPr>
              <w:t>必要が</w:t>
            </w:r>
            <w:r w:rsidR="00A35F3B">
              <w:rPr>
                <w:rFonts w:hint="eastAsia"/>
              </w:rPr>
              <w:t>あ</w:t>
            </w:r>
            <w:r>
              <w:rPr>
                <w:rFonts w:hint="eastAsia"/>
              </w:rPr>
              <w:t>ります。これら代理店</w:t>
            </w:r>
            <w:r w:rsidR="00E74B18">
              <w:rPr>
                <w:rFonts w:hint="eastAsia"/>
              </w:rPr>
              <w:t>として行う</w:t>
            </w:r>
            <w:r>
              <w:rPr>
                <w:rFonts w:hint="eastAsia"/>
              </w:rPr>
              <w:t>研修については</w:t>
            </w:r>
            <w:r w:rsidR="00C0058B">
              <w:rPr>
                <w:rFonts w:hint="eastAsia"/>
              </w:rPr>
              <w:t>、</w:t>
            </w:r>
            <w:r w:rsidR="00A35F3B" w:rsidRPr="00403738">
              <w:rPr>
                <w:rFonts w:hint="eastAsia"/>
                <w:u w:val="single"/>
              </w:rPr>
              <w:t>「研修記録簿</w:t>
            </w:r>
            <w:r w:rsidR="00E74B18" w:rsidRPr="00403738">
              <w:rPr>
                <w:rFonts w:hint="eastAsia"/>
                <w:u w:val="single"/>
              </w:rPr>
              <w:t>」</w:t>
            </w:r>
            <w:r w:rsidRPr="00403738">
              <w:rPr>
                <w:rFonts w:hint="eastAsia"/>
                <w:u w:val="single"/>
              </w:rPr>
              <w:t>を作成</w:t>
            </w:r>
            <w:r>
              <w:rPr>
                <w:rFonts w:hint="eastAsia"/>
              </w:rPr>
              <w:t>して実施日、内容、参加者、欠席者（補講日）などの記録を残さなければなりません。</w:t>
            </w:r>
            <w:r w:rsidR="00403738">
              <w:rPr>
                <w:rFonts w:hint="eastAsia"/>
              </w:rPr>
              <w:t>このように、</w:t>
            </w:r>
            <w:r w:rsidR="009F4DFA">
              <w:rPr>
                <w:rFonts w:hint="eastAsia"/>
              </w:rPr>
              <w:t>社員教育については、</w:t>
            </w:r>
            <w:r w:rsidR="005F4568">
              <w:rPr>
                <w:rFonts w:hint="eastAsia"/>
              </w:rPr>
              <w:t>保険会社</w:t>
            </w:r>
            <w:r w:rsidR="009F4DFA">
              <w:rPr>
                <w:rFonts w:hint="eastAsia"/>
              </w:rPr>
              <w:t>が提供する研修を受ける場合であっても、</w:t>
            </w:r>
            <w:r w:rsidR="005F4568" w:rsidRPr="00403738">
              <w:rPr>
                <w:rFonts w:hint="eastAsia"/>
                <w:u w:val="single"/>
              </w:rPr>
              <w:t>代理店が</w:t>
            </w:r>
            <w:r w:rsidR="009F4DFA" w:rsidRPr="00403738">
              <w:rPr>
                <w:rFonts w:hint="eastAsia"/>
                <w:u w:val="single"/>
              </w:rPr>
              <w:t>主体的に</w:t>
            </w:r>
            <w:r w:rsidR="00403738">
              <w:rPr>
                <w:rFonts w:hint="eastAsia"/>
                <w:u w:val="single"/>
              </w:rPr>
              <w:t>計画し、</w:t>
            </w:r>
            <w:r w:rsidR="009F4DFA" w:rsidRPr="00403738">
              <w:rPr>
                <w:rFonts w:hint="eastAsia"/>
                <w:u w:val="single"/>
              </w:rPr>
              <w:t>指示をして受講させる</w:t>
            </w:r>
            <w:r w:rsidR="005F4568" w:rsidRPr="00403738">
              <w:rPr>
                <w:rFonts w:hint="eastAsia"/>
                <w:u w:val="single"/>
              </w:rPr>
              <w:t>必要がある</w:t>
            </w:r>
            <w:r w:rsidR="005F4568">
              <w:rPr>
                <w:rFonts w:hint="eastAsia"/>
              </w:rPr>
              <w:t>ことを改めて確認いただきたいと思います。</w:t>
            </w:r>
          </w:p>
          <w:p w:rsidR="009F4DFA" w:rsidRDefault="009F4DFA" w:rsidP="009F4DFA">
            <w:pPr>
              <w:ind w:leftChars="200" w:left="400" w:firstLineChars="100" w:firstLine="200"/>
            </w:pPr>
          </w:p>
        </w:tc>
      </w:tr>
    </w:tbl>
    <w:p w:rsidR="00C63614" w:rsidRDefault="00C63614" w:rsidP="00C63614">
      <w:r>
        <w:lastRenderedPageBreak/>
        <w:t xml:space="preserve">   </w:t>
      </w:r>
      <w:r>
        <w:rPr>
          <w:rFonts w:hint="eastAsia"/>
        </w:rPr>
        <w:t xml:space="preserve">　</w:t>
      </w:r>
      <w:r>
        <w:t xml:space="preserve">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36E7" w:rsidTr="00A35F3B">
        <w:trPr>
          <w:trHeight w:val="1201"/>
        </w:trPr>
        <w:tc>
          <w:tcPr>
            <w:tcW w:w="8505" w:type="dxa"/>
          </w:tcPr>
          <w:p w:rsidR="00E74B18" w:rsidRDefault="00A036E7" w:rsidP="00E74B18">
            <w:pPr>
              <w:ind w:firstLineChars="100" w:firstLine="200"/>
            </w:pPr>
            <w:r>
              <w:t>Q2</w:t>
            </w:r>
            <w:r>
              <w:rPr>
                <w:rFonts w:hint="eastAsia"/>
              </w:rPr>
              <w:t>【顧客保護等管理体制（１）】</w:t>
            </w:r>
          </w:p>
          <w:p w:rsidR="00A036E7" w:rsidRDefault="00E74B18" w:rsidP="00E74B18">
            <w:pPr>
              <w:ind w:leftChars="200" w:left="400" w:firstLineChars="100" w:firstLine="200"/>
              <w:rPr>
                <w:u w:val="single"/>
              </w:rPr>
            </w:pPr>
            <w:r>
              <w:rPr>
                <w:rFonts w:hint="eastAsia"/>
              </w:rPr>
              <w:t>「</w:t>
            </w:r>
            <w:r w:rsidR="00A036E7">
              <w:rPr>
                <w:rFonts w:hint="eastAsia"/>
              </w:rPr>
              <w:t>個人データ管理台帳</w:t>
            </w:r>
            <w:r>
              <w:rPr>
                <w:rFonts w:hint="eastAsia"/>
              </w:rPr>
              <w:t>」については、</w:t>
            </w:r>
            <w:r w:rsidR="00A036E7">
              <w:rPr>
                <w:rFonts w:hint="eastAsia"/>
              </w:rPr>
              <w:t>所属保険会社から配布された帳票を備え付けて</w:t>
            </w:r>
            <w:r>
              <w:rPr>
                <w:rFonts w:hint="eastAsia"/>
              </w:rPr>
              <w:t>い</w:t>
            </w:r>
            <w:r w:rsidR="00A036E7">
              <w:rPr>
                <w:rFonts w:hint="eastAsia"/>
              </w:rPr>
              <w:t>ま</w:t>
            </w:r>
            <w:r>
              <w:rPr>
                <w:rFonts w:hint="eastAsia"/>
              </w:rPr>
              <w:t>すが、代理店として</w:t>
            </w:r>
            <w:r w:rsidR="00A036E7">
              <w:rPr>
                <w:rFonts w:hint="eastAsia"/>
              </w:rPr>
              <w:t>定期的にメンテナンスをする必要はありますか。</w:t>
            </w:r>
          </w:p>
        </w:tc>
      </w:tr>
    </w:tbl>
    <w:p w:rsidR="00C63614" w:rsidRDefault="00C63614" w:rsidP="00C636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36E7" w:rsidTr="00A35F3B">
        <w:trPr>
          <w:trHeight w:val="5460"/>
        </w:trPr>
        <w:tc>
          <w:tcPr>
            <w:tcW w:w="8505" w:type="dxa"/>
          </w:tcPr>
          <w:p w:rsidR="00A036E7" w:rsidRDefault="00A036E7" w:rsidP="00E74B18">
            <w:pPr>
              <w:ind w:left="400" w:hangingChars="200" w:hanging="400"/>
            </w:pPr>
            <w:r>
              <w:t xml:space="preserve">A2 </w:t>
            </w:r>
            <w:r w:rsidR="00E74B18">
              <w:rPr>
                <w:rFonts w:hint="eastAsia"/>
              </w:rPr>
              <w:t xml:space="preserve">　</w:t>
            </w:r>
            <w:r w:rsidR="00403738">
              <w:rPr>
                <w:rFonts w:hint="eastAsia"/>
              </w:rPr>
              <w:t>現在、保険代理店は、</w:t>
            </w:r>
            <w:r>
              <w:rPr>
                <w:rFonts w:hint="eastAsia"/>
              </w:rPr>
              <w:t>個人情報取扱事業者</w:t>
            </w:r>
            <w:r w:rsidR="00E74B18">
              <w:rPr>
                <w:rFonts w:hint="eastAsia"/>
              </w:rPr>
              <w:t>(</w:t>
            </w:r>
            <w:r w:rsidR="00E74B18">
              <w:rPr>
                <w:rFonts w:hint="eastAsia"/>
              </w:rPr>
              <w:t>※</w:t>
            </w:r>
            <w:r w:rsidR="00E74B18">
              <w:rPr>
                <w:rFonts w:hint="eastAsia"/>
              </w:rPr>
              <w:t>)</w:t>
            </w:r>
            <w:r>
              <w:rPr>
                <w:rFonts w:hint="eastAsia"/>
              </w:rPr>
              <w:t>である</w:t>
            </w:r>
            <w:r w:rsidR="00403738">
              <w:rPr>
                <w:rFonts w:hint="eastAsia"/>
              </w:rPr>
              <w:t>保険会社の委託先という位置づけで、</w:t>
            </w:r>
            <w:r w:rsidR="00403738" w:rsidRPr="00403738">
              <w:rPr>
                <w:rFonts w:hint="eastAsia"/>
                <w:u w:val="single"/>
              </w:rPr>
              <w:t>金融機関に求められるルールに従った対応</w:t>
            </w:r>
            <w:r w:rsidR="00403738">
              <w:rPr>
                <w:rFonts w:hint="eastAsia"/>
              </w:rPr>
              <w:t>を求められています。具体的には、</w:t>
            </w:r>
            <w:r>
              <w:rPr>
                <w:rFonts w:hint="eastAsia"/>
              </w:rPr>
              <w:t>「金融分野における個人情報に関するガイドラインの安全管理措置等についての実務指針」において</w:t>
            </w:r>
            <w:r w:rsidR="00E74B18">
              <w:rPr>
                <w:rFonts w:hint="eastAsia"/>
              </w:rPr>
              <w:t>、</w:t>
            </w:r>
            <w:r>
              <w:rPr>
                <w:rFonts w:hint="eastAsia"/>
              </w:rPr>
              <w:t>「個人データの取扱状況を確認できる手段の整備」として</w:t>
            </w:r>
            <w:r w:rsidRPr="00403738">
              <w:rPr>
                <w:rFonts w:hint="eastAsia"/>
                <w:u w:val="single"/>
              </w:rPr>
              <w:t>「個人データ管理台帳」を備え付ける</w:t>
            </w:r>
            <w:r>
              <w:rPr>
                <w:rFonts w:hint="eastAsia"/>
              </w:rPr>
              <w:t>ことが義務付けられて</w:t>
            </w:r>
            <w:r w:rsidR="00E74B18">
              <w:rPr>
                <w:rFonts w:hint="eastAsia"/>
              </w:rPr>
              <w:t>い</w:t>
            </w:r>
            <w:r>
              <w:rPr>
                <w:rFonts w:hint="eastAsia"/>
              </w:rPr>
              <w:t>ます。同実務指針では台帳に記載する項目として</w:t>
            </w:r>
            <w:r w:rsidR="005F4568">
              <w:rPr>
                <w:rFonts w:hint="eastAsia"/>
              </w:rPr>
              <w:t>、</w:t>
            </w:r>
            <w:r>
              <w:rPr>
                <w:rFonts w:hint="eastAsia"/>
              </w:rPr>
              <w:t>「取得項目」「利用目的」「保管場所・保管方法・保管期限」「管理部署」「アクセス制御の状況」を定めて</w:t>
            </w:r>
            <w:r w:rsidR="00E74B18">
              <w:rPr>
                <w:rFonts w:hint="eastAsia"/>
              </w:rPr>
              <w:t>い</w:t>
            </w:r>
            <w:r>
              <w:rPr>
                <w:rFonts w:hint="eastAsia"/>
              </w:rPr>
              <w:t>ます。</w:t>
            </w:r>
          </w:p>
          <w:p w:rsidR="00E74B18" w:rsidRDefault="00E74B18" w:rsidP="00E74B18">
            <w:pPr>
              <w:ind w:left="800" w:hangingChars="400" w:hanging="800"/>
            </w:pPr>
            <w:r>
              <w:rPr>
                <w:rFonts w:hint="eastAsia"/>
              </w:rPr>
              <w:t xml:space="preserve">　　</w:t>
            </w:r>
            <w:r>
              <w:rPr>
                <w:rFonts w:hint="eastAsia"/>
              </w:rPr>
              <w:t>(</w:t>
            </w:r>
            <w:r>
              <w:rPr>
                <w:rFonts w:hint="eastAsia"/>
              </w:rPr>
              <w:t>※）なお、個人情報保護法は現在改正作業が進められて</w:t>
            </w:r>
            <w:r w:rsidR="005F4568">
              <w:rPr>
                <w:rFonts w:hint="eastAsia"/>
              </w:rPr>
              <w:t>おり、</w:t>
            </w:r>
            <w:r>
              <w:rPr>
                <w:rFonts w:hint="eastAsia"/>
              </w:rPr>
              <w:t>改正後は全ての代理店が</w:t>
            </w:r>
            <w:r w:rsidR="00403738">
              <w:rPr>
                <w:rFonts w:hint="eastAsia"/>
              </w:rPr>
              <w:t>直接</w:t>
            </w:r>
            <w:r>
              <w:rPr>
                <w:rFonts w:hint="eastAsia"/>
              </w:rPr>
              <w:t>「個人情報取扱事業者」</w:t>
            </w:r>
            <w:r w:rsidR="00403738">
              <w:rPr>
                <w:rFonts w:hint="eastAsia"/>
              </w:rPr>
              <w:t>に指定される</w:t>
            </w:r>
            <w:r w:rsidR="005F4568">
              <w:rPr>
                <w:rFonts w:hint="eastAsia"/>
              </w:rPr>
              <w:t>予定です</w:t>
            </w:r>
            <w:r w:rsidR="00403738">
              <w:rPr>
                <w:rFonts w:hint="eastAsia"/>
              </w:rPr>
              <w:t>。</w:t>
            </w:r>
          </w:p>
          <w:p w:rsidR="004E1CA8" w:rsidRDefault="00A036E7" w:rsidP="004E1CA8">
            <w:pPr>
              <w:spacing w:beforeLines="50" w:before="177"/>
              <w:ind w:left="400" w:hangingChars="200" w:hanging="400"/>
              <w:rPr>
                <w:rFonts w:hint="eastAsia"/>
                <w:szCs w:val="20"/>
              </w:rPr>
            </w:pPr>
            <w:r>
              <w:rPr>
                <w:rFonts w:hint="eastAsia"/>
              </w:rPr>
              <w:t xml:space="preserve">　　</w:t>
            </w:r>
            <w:r w:rsidR="00E74B18">
              <w:rPr>
                <w:rFonts w:hint="eastAsia"/>
              </w:rPr>
              <w:t xml:space="preserve">　</w:t>
            </w:r>
            <w:r>
              <w:rPr>
                <w:rFonts w:hint="eastAsia"/>
              </w:rPr>
              <w:t>保険代理店が日常業務を遂行</w:t>
            </w:r>
            <w:r w:rsidR="00E74B18">
              <w:rPr>
                <w:rFonts w:hint="eastAsia"/>
              </w:rPr>
              <w:t>していく中で、</w:t>
            </w:r>
            <w:r>
              <w:rPr>
                <w:rFonts w:hint="eastAsia"/>
              </w:rPr>
              <w:t>「個人情報・個人データ」は毎日生き物のように動いています。そのため、新たな書類の追加</w:t>
            </w:r>
            <w:r w:rsidR="00E74B18">
              <w:rPr>
                <w:rFonts w:hint="eastAsia"/>
              </w:rPr>
              <w:t>や</w:t>
            </w:r>
            <w:r>
              <w:rPr>
                <w:rFonts w:hint="eastAsia"/>
              </w:rPr>
              <w:t>保管期限に基づいた</w:t>
            </w:r>
            <w:r w:rsidR="005F4568">
              <w:rPr>
                <w:rFonts w:hint="eastAsia"/>
              </w:rPr>
              <w:t>書類の</w:t>
            </w:r>
            <w:r>
              <w:rPr>
                <w:rFonts w:hint="eastAsia"/>
              </w:rPr>
              <w:t>廃棄など、</w:t>
            </w:r>
            <w:r w:rsidR="00403738">
              <w:rPr>
                <w:rFonts w:hint="eastAsia"/>
              </w:rPr>
              <w:t>代理店自身が</w:t>
            </w:r>
            <w:r w:rsidRPr="00403738">
              <w:rPr>
                <w:rFonts w:hint="eastAsia"/>
                <w:u w:val="single"/>
              </w:rPr>
              <w:t>定期的なメンテナンス</w:t>
            </w:r>
            <w:r w:rsidR="00403738">
              <w:rPr>
                <w:rFonts w:hint="eastAsia"/>
                <w:u w:val="single"/>
              </w:rPr>
              <w:t>を行うこと</w:t>
            </w:r>
            <w:r w:rsidRPr="00403738">
              <w:rPr>
                <w:rFonts w:hint="eastAsia"/>
                <w:u w:val="single"/>
              </w:rPr>
              <w:t>が必要</w:t>
            </w:r>
            <w:r>
              <w:rPr>
                <w:rFonts w:hint="eastAsia"/>
              </w:rPr>
              <w:t>となります。</w:t>
            </w:r>
            <w:bookmarkStart w:id="0" w:name="_GoBack"/>
            <w:bookmarkEnd w:id="0"/>
            <w:r w:rsidR="004E1CA8">
              <w:rPr>
                <w:rFonts w:hint="eastAsia"/>
              </w:rPr>
              <w:t>各保険会社の個人情報管理マニュアル等では、</w:t>
            </w:r>
            <w:r w:rsidR="004E1CA8">
              <w:rPr>
                <w:rFonts w:hint="eastAsia"/>
                <w:szCs w:val="20"/>
              </w:rPr>
              <w:t>個人データを取得・廃棄する都度、</w:t>
            </w:r>
            <w:r w:rsidR="004E1CA8">
              <w:rPr>
                <w:rFonts w:hint="eastAsia"/>
                <w:szCs w:val="20"/>
              </w:rPr>
              <w:t xml:space="preserve"> </w:t>
            </w:r>
            <w:r w:rsidR="004E1CA8">
              <w:rPr>
                <w:rFonts w:hint="eastAsia"/>
                <w:szCs w:val="20"/>
              </w:rPr>
              <w:t>備え付けた台帳を更新し</w:t>
            </w:r>
            <w:r w:rsidR="004E1CA8">
              <w:rPr>
                <w:rFonts w:hint="eastAsia"/>
                <w:szCs w:val="20"/>
              </w:rPr>
              <w:t>、</w:t>
            </w:r>
            <w:r w:rsidR="004E1CA8">
              <w:rPr>
                <w:rFonts w:hint="eastAsia"/>
                <w:szCs w:val="20"/>
              </w:rPr>
              <w:t>更新日</w:t>
            </w:r>
            <w:r w:rsidR="004E1CA8">
              <w:rPr>
                <w:rFonts w:hint="eastAsia"/>
                <w:szCs w:val="20"/>
              </w:rPr>
              <w:t>の</w:t>
            </w:r>
            <w:r w:rsidR="004E1CA8">
              <w:rPr>
                <w:rFonts w:hint="eastAsia"/>
              </w:rPr>
              <w:t xml:space="preserve"> </w:t>
            </w:r>
            <w:r w:rsidR="004E1CA8">
              <w:rPr>
                <w:rFonts w:hint="eastAsia"/>
                <w:szCs w:val="20"/>
              </w:rPr>
              <w:t>記載の励行を求めていますので、留意が必要です。</w:t>
            </w:r>
          </w:p>
          <w:p w:rsidR="00A036E7" w:rsidRDefault="004E1CA8" w:rsidP="004E1CA8">
            <w:pPr>
              <w:spacing w:beforeLines="50" w:before="177"/>
              <w:ind w:leftChars="200" w:left="400" w:firstLineChars="100" w:firstLine="200"/>
            </w:pPr>
            <w:r>
              <w:rPr>
                <w:rFonts w:hint="eastAsia"/>
                <w:szCs w:val="20"/>
              </w:rPr>
              <w:t>また、</w:t>
            </w:r>
            <w:r w:rsidR="00A036E7">
              <w:rPr>
                <w:rFonts w:hint="eastAsia"/>
              </w:rPr>
              <w:t>監督当局</w:t>
            </w:r>
            <w:r w:rsidR="005F4568">
              <w:rPr>
                <w:rFonts w:hint="eastAsia"/>
              </w:rPr>
              <w:t>や</w:t>
            </w:r>
            <w:r w:rsidR="00B335C9">
              <w:rPr>
                <w:rFonts w:hint="eastAsia"/>
              </w:rPr>
              <w:t>所属保険会社による検査の際には、</w:t>
            </w:r>
            <w:r w:rsidR="0039583B">
              <w:rPr>
                <w:rFonts w:hint="eastAsia"/>
              </w:rPr>
              <w:t>「</w:t>
            </w:r>
            <w:r w:rsidR="00B335C9">
              <w:rPr>
                <w:rFonts w:hint="eastAsia"/>
              </w:rPr>
              <w:t>個人</w:t>
            </w:r>
            <w:r w:rsidR="00A036E7">
              <w:rPr>
                <w:rFonts w:hint="eastAsia"/>
              </w:rPr>
              <w:t>データ管理台帳</w:t>
            </w:r>
            <w:r w:rsidR="0039583B">
              <w:rPr>
                <w:rFonts w:hint="eastAsia"/>
              </w:rPr>
              <w:t>」</w:t>
            </w:r>
            <w:r w:rsidR="00A036E7">
              <w:rPr>
                <w:rFonts w:hint="eastAsia"/>
              </w:rPr>
              <w:t>に記載された書類と現物の突合調査が行われます。その際に</w:t>
            </w:r>
            <w:r w:rsidR="00B335C9">
              <w:rPr>
                <w:rFonts w:hint="eastAsia"/>
              </w:rPr>
              <w:t>指定された現物を</w:t>
            </w:r>
            <w:r w:rsidR="00A036E7">
              <w:rPr>
                <w:rFonts w:hint="eastAsia"/>
              </w:rPr>
              <w:t>提示できなかった場合は</w:t>
            </w:r>
            <w:r w:rsidR="00B335C9">
              <w:rPr>
                <w:rFonts w:hint="eastAsia"/>
              </w:rPr>
              <w:t>、実際には</w:t>
            </w:r>
            <w:r w:rsidR="0039583B">
              <w:rPr>
                <w:rFonts w:hint="eastAsia"/>
              </w:rPr>
              <w:t>“</w:t>
            </w:r>
            <w:r w:rsidR="00B335C9">
              <w:rPr>
                <w:rFonts w:hint="eastAsia"/>
              </w:rPr>
              <w:t>「</w:t>
            </w:r>
            <w:r w:rsidR="00A036E7">
              <w:rPr>
                <w:rFonts w:hint="eastAsia"/>
              </w:rPr>
              <w:t>廃棄</w:t>
            </w:r>
            <w:r w:rsidR="00B335C9">
              <w:rPr>
                <w:rFonts w:hint="eastAsia"/>
              </w:rPr>
              <w:t>」</w:t>
            </w:r>
            <w:r w:rsidR="00A036E7">
              <w:rPr>
                <w:rFonts w:hint="eastAsia"/>
              </w:rPr>
              <w:t>の記載漏れ</w:t>
            </w:r>
            <w:r w:rsidR="0039583B">
              <w:rPr>
                <w:rFonts w:hint="eastAsia"/>
              </w:rPr>
              <w:t>”</w:t>
            </w:r>
            <w:r w:rsidR="00A036E7">
              <w:rPr>
                <w:rFonts w:hint="eastAsia"/>
              </w:rPr>
              <w:t>であったとしても</w:t>
            </w:r>
            <w:r w:rsidR="00B335C9">
              <w:rPr>
                <w:rFonts w:hint="eastAsia"/>
              </w:rPr>
              <w:t>、</w:t>
            </w:r>
            <w:r w:rsidR="00A036E7">
              <w:rPr>
                <w:rFonts w:hint="eastAsia"/>
              </w:rPr>
              <w:t>紛失、盗難などの不祥事と看做されることがあり、その後の対応に</w:t>
            </w:r>
            <w:r w:rsidR="005F4568">
              <w:rPr>
                <w:rFonts w:hint="eastAsia"/>
              </w:rPr>
              <w:t>多くの</w:t>
            </w:r>
            <w:r w:rsidR="00A036E7">
              <w:rPr>
                <w:rFonts w:hint="eastAsia"/>
              </w:rPr>
              <w:t>時間と</w:t>
            </w:r>
            <w:r w:rsidR="00B335C9">
              <w:rPr>
                <w:rFonts w:hint="eastAsia"/>
              </w:rPr>
              <w:t>ロードを要する</w:t>
            </w:r>
            <w:r w:rsidR="00A036E7">
              <w:rPr>
                <w:rFonts w:hint="eastAsia"/>
              </w:rPr>
              <w:t>恐れがあります。</w:t>
            </w:r>
            <w:r w:rsidR="00B335C9">
              <w:rPr>
                <w:rFonts w:hint="eastAsia"/>
              </w:rPr>
              <w:t>従って、</w:t>
            </w:r>
            <w:r w:rsidR="00A036E7">
              <w:rPr>
                <w:rFonts w:hint="eastAsia"/>
              </w:rPr>
              <w:t>代理店内の社内ルールとして</w:t>
            </w:r>
            <w:r w:rsidR="00B335C9">
              <w:rPr>
                <w:rFonts w:hint="eastAsia"/>
              </w:rPr>
              <w:t>、</w:t>
            </w:r>
            <w:r w:rsidR="00A036E7">
              <w:rPr>
                <w:rFonts w:hint="eastAsia"/>
              </w:rPr>
              <w:t>例えば四半期に１回程度、</w:t>
            </w:r>
            <w:r w:rsidR="00A036E7" w:rsidRPr="0039583B">
              <w:rPr>
                <w:rFonts w:hint="eastAsia"/>
                <w:u w:val="single"/>
              </w:rPr>
              <w:t>台帳に記載された書類</w:t>
            </w:r>
            <w:r w:rsidR="00B335C9" w:rsidRPr="0039583B">
              <w:rPr>
                <w:rFonts w:hint="eastAsia"/>
                <w:u w:val="single"/>
              </w:rPr>
              <w:t>・</w:t>
            </w:r>
            <w:r w:rsidR="00A036E7" w:rsidRPr="0039583B">
              <w:rPr>
                <w:rFonts w:hint="eastAsia"/>
                <w:u w:val="single"/>
              </w:rPr>
              <w:t>ファイルと現物</w:t>
            </w:r>
            <w:r w:rsidR="00B335C9" w:rsidRPr="0039583B">
              <w:rPr>
                <w:rFonts w:hint="eastAsia"/>
                <w:u w:val="single"/>
              </w:rPr>
              <w:t>との</w:t>
            </w:r>
            <w:r w:rsidR="00A036E7" w:rsidRPr="0039583B">
              <w:rPr>
                <w:rFonts w:hint="eastAsia"/>
                <w:u w:val="single"/>
              </w:rPr>
              <w:t>突合を</w:t>
            </w:r>
            <w:r w:rsidR="00B335C9" w:rsidRPr="0039583B">
              <w:rPr>
                <w:rFonts w:hint="eastAsia"/>
                <w:u w:val="single"/>
              </w:rPr>
              <w:t>実施</w:t>
            </w:r>
            <w:r w:rsidR="00B335C9">
              <w:rPr>
                <w:rFonts w:hint="eastAsia"/>
              </w:rPr>
              <w:t>する</w:t>
            </w:r>
            <w:r w:rsidR="00A036E7">
              <w:rPr>
                <w:rFonts w:hint="eastAsia"/>
              </w:rPr>
              <w:t>ことを</w:t>
            </w:r>
            <w:r w:rsidR="00B335C9">
              <w:rPr>
                <w:rFonts w:hint="eastAsia"/>
              </w:rPr>
              <w:t>お勧めします。</w:t>
            </w:r>
          </w:p>
          <w:p w:rsidR="00B335C9" w:rsidRDefault="00B335C9" w:rsidP="00B335C9">
            <w:pPr>
              <w:ind w:leftChars="200" w:left="400" w:firstLineChars="100" w:firstLine="200"/>
            </w:pPr>
          </w:p>
        </w:tc>
      </w:tr>
    </w:tbl>
    <w:p w:rsidR="00C63614" w:rsidRDefault="00C63614" w:rsidP="00C63614"/>
    <w:p w:rsidR="00C63614" w:rsidRDefault="00C0058B" w:rsidP="00C63614">
      <w:pPr>
        <w:jc w:val="right"/>
      </w:pPr>
      <w:r>
        <w:rPr>
          <w:rFonts w:hint="eastAsia"/>
        </w:rPr>
        <w:t>（</w:t>
      </w:r>
      <w:r w:rsidR="009F4DFA">
        <w:rPr>
          <w:rFonts w:hint="eastAsia"/>
        </w:rPr>
        <w:t>担当：</w:t>
      </w:r>
      <w:r w:rsidR="00C63614">
        <w:rPr>
          <w:rFonts w:hint="eastAsia"/>
        </w:rPr>
        <w:t>日本創倫株式会社</w:t>
      </w:r>
      <w:r w:rsidR="00C63614">
        <w:t xml:space="preserve"> </w:t>
      </w:r>
      <w:r w:rsidR="00C63614">
        <w:rPr>
          <w:rFonts w:hint="eastAsia"/>
        </w:rPr>
        <w:t>専務取締役</w:t>
      </w:r>
      <w:r w:rsidR="00C63614">
        <w:t>IC</w:t>
      </w:r>
      <w:r w:rsidR="00C63614">
        <w:rPr>
          <w:rFonts w:hint="eastAsia"/>
        </w:rPr>
        <w:t>オフィサー事業部長</w:t>
      </w:r>
      <w:r w:rsidR="00C63614">
        <w:t xml:space="preserve">  </w:t>
      </w:r>
      <w:r w:rsidR="00C63614">
        <w:rPr>
          <w:rFonts w:hint="eastAsia"/>
        </w:rPr>
        <w:t>風間</w:t>
      </w:r>
      <w:r w:rsidR="00C63614">
        <w:t xml:space="preserve"> </w:t>
      </w:r>
      <w:r w:rsidR="00C63614">
        <w:rPr>
          <w:rFonts w:hint="eastAsia"/>
        </w:rPr>
        <w:t>利也</w:t>
      </w:r>
      <w:r>
        <w:rPr>
          <w:rFonts w:hint="eastAsia"/>
        </w:rPr>
        <w:t>）</w:t>
      </w:r>
    </w:p>
    <w:p w:rsidR="009F4DFA" w:rsidRPr="009F4DFA" w:rsidRDefault="009F4DFA" w:rsidP="00C63614">
      <w:pPr>
        <w:jc w:val="right"/>
      </w:pPr>
      <w:r>
        <w:rPr>
          <w:rFonts w:hint="eastAsia"/>
        </w:rPr>
        <w:t>[</w:t>
      </w:r>
      <w:r w:rsidR="0039583B">
        <w:rPr>
          <w:rFonts w:hint="eastAsia"/>
        </w:rPr>
        <w:t>配信：</w:t>
      </w:r>
      <w:r>
        <w:rPr>
          <w:rFonts w:hint="eastAsia"/>
        </w:rPr>
        <w:t>日本代協事務局</w:t>
      </w:r>
      <w:r>
        <w:rPr>
          <w:rFonts w:hint="eastAsia"/>
        </w:rPr>
        <w:t>]</w:t>
      </w:r>
    </w:p>
    <w:p w:rsidR="00C63614" w:rsidRDefault="00C63614" w:rsidP="00C63614"/>
    <w:p w:rsidR="00C63614" w:rsidRDefault="00C63614" w:rsidP="00C63614">
      <w:r>
        <w:rPr>
          <w:rFonts w:hint="eastAsia"/>
        </w:rPr>
        <w:t xml:space="preserve">　　</w:t>
      </w:r>
      <w:r>
        <w:t xml:space="preserve"> </w:t>
      </w:r>
    </w:p>
    <w:p w:rsidR="00C63614" w:rsidRPr="00C63614" w:rsidRDefault="00C63614"/>
    <w:p w:rsidR="00447DF9" w:rsidRDefault="00447DF9"/>
    <w:sectPr w:rsidR="00447DF9" w:rsidSect="00C63614">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14"/>
    <w:rsid w:val="002877F7"/>
    <w:rsid w:val="0039583B"/>
    <w:rsid w:val="00403738"/>
    <w:rsid w:val="00447DF9"/>
    <w:rsid w:val="004E1CA8"/>
    <w:rsid w:val="005F4568"/>
    <w:rsid w:val="009F4DFA"/>
    <w:rsid w:val="00A036E7"/>
    <w:rsid w:val="00A35F3B"/>
    <w:rsid w:val="00B335C9"/>
    <w:rsid w:val="00C0058B"/>
    <w:rsid w:val="00C63614"/>
    <w:rsid w:val="00D761C7"/>
    <w:rsid w:val="00E74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14"/>
    <w:pPr>
      <w:widowControl w:val="0"/>
      <w:jc w:val="both"/>
    </w:pPr>
    <w:rPr>
      <w:rFonts w:eastAsia="HGｺﾞｼｯｸM"/>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14"/>
    <w:pPr>
      <w:widowControl w:val="0"/>
      <w:jc w:val="both"/>
    </w:pPr>
    <w:rPr>
      <w:rFonts w:eastAsia="HGｺﾞｼｯｸM"/>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2016-01-29T06:35:00Z</dcterms:created>
  <dcterms:modified xsi:type="dcterms:W3CDTF">2016-02-02T03:02:00Z</dcterms:modified>
</cp:coreProperties>
</file>